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</w:pPr>
      <w:r/>
      <w:r/>
    </w:p>
    <w:p>
      <w:pPr>
        <w:pStyle w:val="597"/>
        <w:ind w:right="-11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ind w:right="-11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ANKARA SOSYAL BİLİMLER</w:t>
      </w:r>
      <w:r>
        <w:rPr>
          <w:sz w:val="24"/>
          <w:szCs w:val="24"/>
        </w:rPr>
        <w:t xml:space="preserve"> ÜNİVERSİTESİ REKTÖRLÜĞÜNE</w:t>
      </w:r>
      <w:r/>
    </w:p>
    <w:p>
      <w:pPr>
        <w:ind w:right="-11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597"/>
        <w:ind w:right="-11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Üniversiteniz </w:t>
      </w:r>
      <w:r>
        <w:rPr>
          <w:sz w:val="24"/>
          <w:szCs w:val="24"/>
        </w:rPr>
        <w:t xml:space="preserve">tarafından ilan edilen </w:t>
      </w:r>
      <w:r>
        <w:rPr>
          <w:sz w:val="24"/>
          <w:szCs w:val="24"/>
        </w:rPr>
        <w:t xml:space="preserve">………………………..</w:t>
      </w:r>
      <w:r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adrosuna başvuran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……….</w:t>
      </w:r>
      <w:r>
        <w:rPr>
          <w:sz w:val="24"/>
          <w:szCs w:val="24"/>
        </w:rPr>
        <w:t xml:space="preserve">…</w:t>
      </w:r>
      <w:r>
        <w:rPr>
          <w:sz w:val="24"/>
          <w:szCs w:val="24"/>
        </w:rPr>
        <w:t xml:space="preserve">……………</w:t>
      </w:r>
      <w:r>
        <w:rPr>
          <w:sz w:val="24"/>
          <w:szCs w:val="24"/>
        </w:rPr>
        <w:t xml:space="preserve">…………..</w:t>
      </w:r>
      <w:r>
        <w:rPr>
          <w:sz w:val="24"/>
          <w:szCs w:val="24"/>
        </w:rPr>
        <w:t xml:space="preserve">……..</w:t>
      </w:r>
      <w:r>
        <w:rPr>
          <w:sz w:val="24"/>
          <w:szCs w:val="24"/>
        </w:rPr>
        <w:t xml:space="preserve">…</w:t>
      </w:r>
      <w:r>
        <w:rPr>
          <w:sz w:val="24"/>
          <w:szCs w:val="24"/>
        </w:rPr>
        <w:t xml:space="preserve">………</w:t>
      </w:r>
      <w:r>
        <w:rPr>
          <w:sz w:val="24"/>
          <w:szCs w:val="24"/>
        </w:rPr>
        <w:t xml:space="preserve">…</w:t>
      </w:r>
      <w:r>
        <w:rPr>
          <w:sz w:val="24"/>
          <w:szCs w:val="24"/>
        </w:rPr>
        <w:t xml:space="preserve">……..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........................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çalışmalarını </w:t>
      </w:r>
      <w:r>
        <w:rPr>
          <w:sz w:val="24"/>
          <w:szCs w:val="24"/>
        </w:rPr>
        <w:t xml:space="preserve">değerlendirmek üzere jüride görev almış bulunmaktayım. 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01/06/2012 tarihli ve 28310 Sayılı Resmi Gazetede yayımlanarak yürürlüğe giren 29/05/2012 tarih ve 2012/1 numaralı </w:t>
      </w:r>
      <w:r>
        <w:rPr>
          <w:i/>
          <w:sz w:val="24"/>
          <w:szCs w:val="24"/>
        </w:rPr>
        <w:t xml:space="preserve">“Kamu Görevlileri Hakem Kurulu Kararı’</w:t>
      </w:r>
      <w:r>
        <w:rPr>
          <w:sz w:val="24"/>
          <w:szCs w:val="24"/>
        </w:rPr>
        <w:t xml:space="preserve">nın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23. </w:t>
      </w:r>
      <w:r>
        <w:rPr>
          <w:sz w:val="24"/>
          <w:szCs w:val="24"/>
        </w:rPr>
        <w:t xml:space="preserve">M</w:t>
      </w:r>
      <w:r>
        <w:rPr>
          <w:sz w:val="24"/>
          <w:szCs w:val="24"/>
        </w:rPr>
        <w:t xml:space="preserve">addesi gereğince ve </w:t>
      </w:r>
      <w:r>
        <w:rPr>
          <w:i/>
          <w:sz w:val="24"/>
          <w:szCs w:val="24"/>
        </w:rPr>
        <w:t xml:space="preserve">“Doçentlik </w:t>
      </w:r>
      <w:r>
        <w:rPr>
          <w:i/>
          <w:sz w:val="24"/>
          <w:szCs w:val="24"/>
        </w:rPr>
        <w:t xml:space="preserve">Değerlendirmesi İ</w:t>
      </w:r>
      <w:r>
        <w:rPr>
          <w:i/>
          <w:sz w:val="24"/>
          <w:szCs w:val="24"/>
        </w:rPr>
        <w:t xml:space="preserve">le Öğretim Üyeliğine Atanma Süreçlerinde Görev Alan Jüri Üyelerine Ödenecek Ücrete İlişkin Ulus ve Esaslar” </w:t>
      </w:r>
      <w:r>
        <w:rPr>
          <w:sz w:val="24"/>
          <w:szCs w:val="24"/>
        </w:rPr>
        <w:t xml:space="preserve">uyarınca tarafıma ödenmesi gereken ücrete ait bilgilerim aşağıda tablo halinde sunulmuştur. Tarafıma yapılacak olan ödemenin ilgili banka hesabıma yatırılması hususunda gereğini arz ederim. </w:t>
      </w:r>
      <w:r>
        <w:rPr>
          <w:sz w:val="24"/>
          <w:szCs w:val="24"/>
        </w:rPr>
      </w:r>
      <w:r/>
    </w:p>
    <w:p>
      <w:pPr>
        <w:pStyle w:val="597"/>
        <w:ind w:right="-11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ind w:right="-11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ind w:right="-115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Adı </w:t>
      </w:r>
      <w:r>
        <w:rPr>
          <w:sz w:val="24"/>
          <w:szCs w:val="24"/>
        </w:rPr>
        <w:t xml:space="preserve">Soyadı</w:t>
        <w:tab/>
        <w:t xml:space="preserve">:</w:t>
      </w:r>
      <w:r/>
    </w:p>
    <w:p>
      <w:pPr>
        <w:pStyle w:val="597"/>
        <w:ind w:right="-115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Tarih</w:t>
        <w:tab/>
        <w:tab/>
        <w:t xml:space="preserve">:</w:t>
      </w:r>
      <w:r/>
    </w:p>
    <w:p>
      <w:pPr>
        <w:pStyle w:val="597"/>
        <w:ind w:right="-115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İmza</w:t>
        <w:tab/>
        <w:tab/>
        <w:t xml:space="preserve">:</w:t>
      </w:r>
      <w:r/>
    </w:p>
    <w:p>
      <w:pPr>
        <w:pStyle w:val="597"/>
        <w:ind w:right="-11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ind w:right="-115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77"/>
        <w:gridCol w:w="5670"/>
      </w:tblGrid>
      <w:tr>
        <w:trPr>
          <w:trHeight w:val="446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747" w:type="dxa"/>
            <w:vAlign w:val="center"/>
            <w:textDirection w:val="lrTb"/>
            <w:noWrap w:val="false"/>
          </w:tcPr>
          <w:p>
            <w:pPr>
              <w:pStyle w:val="5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JÜRİ ÜYESİNİN</w:t>
            </w:r>
            <w:r/>
          </w:p>
        </w:tc>
      </w:tr>
      <w:tr>
        <w:trPr>
          <w:trHeight w:val="511"/>
        </w:trPr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 xml:space="preserve">oyadı 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39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Unvanı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19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Kurum / Birim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41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T.C. Kimlik No.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1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Açık Adresi 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9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Banka Adı / Şubesi / Şube Kodu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24"/>
        </w:trPr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IBAN Numarası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  </w:t>
            </w:r>
            <w:r>
              <w:rPr>
                <w:sz w:val="24"/>
                <w:szCs w:val="24"/>
              </w:rPr>
              <w:t xml:space="preserve"> Mali </w:t>
            </w:r>
            <w:r>
              <w:rPr>
                <w:sz w:val="24"/>
                <w:szCs w:val="24"/>
              </w:rPr>
              <w:t xml:space="preserve">Yılı Gelir Vergisi Matrahları Toplamı*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  </w:t>
            </w:r>
            <w:r>
              <w:rPr>
                <w:sz w:val="24"/>
                <w:szCs w:val="24"/>
              </w:rPr>
              <w:t xml:space="preserve"> Mali Yılı İçerisinde </w:t>
            </w:r>
            <w:r>
              <w:rPr>
                <w:sz w:val="24"/>
                <w:szCs w:val="24"/>
              </w:rPr>
              <w:t xml:space="preserve">Daha Önce </w:t>
            </w:r>
            <w:r>
              <w:rPr>
                <w:sz w:val="24"/>
                <w:szCs w:val="24"/>
              </w:rPr>
              <w:t xml:space="preserve">Görev Alınan Jüri Üyeliği Sayısı**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Yayın Dosyasının Teslim Alındığı Tarih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Jüri Raporunun Üniversiteye/Postaya Teslim Tarihi</w:t>
            </w:r>
            <w:r>
              <w:rPr>
                <w:sz w:val="24"/>
                <w:szCs w:val="24"/>
              </w:rPr>
              <w:t xml:space="preserve">***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597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ind w:right="-115"/>
        <w:jc w:val="both"/>
      </w:pPr>
      <w:r>
        <w:t xml:space="preserve">(*)</w:t>
        <w:tab/>
      </w:r>
      <w:r>
        <w:t xml:space="preserve">Mali yıl, g</w:t>
      </w:r>
      <w:r>
        <w:t xml:space="preserve">örevlendirmeye ilişkin üst yazıda belirtilen yıl olup, </w:t>
      </w:r>
      <w:r>
        <w:t xml:space="preserve">matrah bilgisi</w:t>
      </w:r>
      <w:r>
        <w:t xml:space="preserve">ne;</w:t>
      </w:r>
      <w:r>
        <w:t xml:space="preserve"> maaş işlemi yürütülen</w:t>
      </w:r>
      <w:r>
        <w:t xml:space="preserve"> muhasebe birim</w:t>
      </w:r>
      <w:r>
        <w:t xml:space="preserve">inden</w:t>
      </w:r>
      <w:r>
        <w:t xml:space="preserve"> </w:t>
      </w:r>
      <w:r>
        <w:t xml:space="preserve">yada </w:t>
      </w:r>
      <w:r>
        <w:fldChar w:fldCharType="begin"/>
      </w:r>
      <w:r>
        <w:instrText xml:space="preserve"> HYPERLINK "https://www.turkiye.gov.tr/e-bordro-sorgulama" </w:instrText>
      </w:r>
      <w:r>
        <w:fldChar w:fldCharType="separate"/>
      </w:r>
      <w:r>
        <w:rPr>
          <w:rStyle w:val="615"/>
        </w:rPr>
        <w:t xml:space="preserve">https://www.turkiye.gov.tr/e-bordro-sorgulama</w:t>
      </w:r>
      <w:r>
        <w:fldChar w:fldCharType="end"/>
      </w:r>
      <w:r>
        <w:t xml:space="preserve"> adresinden son yapılan maaş bordrosu görüntülenerek bordroda yer alan geçen aylar vergi matrahı toplamı ile aylık vergi matrahı kalemleri toplanılarak </w:t>
      </w:r>
      <w:r>
        <w:t xml:space="preserve">jüri üyesince </w:t>
      </w:r>
      <w:r>
        <w:t xml:space="preserve">ulaşılabilir</w:t>
      </w:r>
      <w:r>
        <w:t xml:space="preserve">, bildirilmediği takdirde </w:t>
      </w:r>
      <w:r>
        <w:rPr>
          <w:b/>
        </w:rPr>
        <w:t xml:space="preserve">en yüksek </w:t>
      </w:r>
      <w:r>
        <w:rPr>
          <w:b/>
        </w:rPr>
        <w:t xml:space="preserve">vergi </w:t>
      </w:r>
      <w:r>
        <w:rPr>
          <w:b/>
        </w:rPr>
        <w:t xml:space="preserve">dilimden</w:t>
      </w:r>
      <w:r>
        <w:t xml:space="preserve"> </w:t>
      </w:r>
      <w:r>
        <w:t xml:space="preserve">kesinti yapılması kabul edilmiş sayılacaktır.</w:t>
      </w:r>
      <w:r/>
    </w:p>
    <w:p>
      <w:pPr>
        <w:pStyle w:val="597"/>
        <w:ind w:right="-115"/>
        <w:jc w:val="both"/>
      </w:pPr>
      <w:r>
        <w:t xml:space="preserve">(**)</w:t>
        <w:tab/>
      </w:r>
      <w:r>
        <w:t xml:space="preserve">Mali yıl, g</w:t>
      </w:r>
      <w:r>
        <w:t xml:space="preserve">örevlendirmeye ilişkin üst yazıda belirtilen yıl olup, i</w:t>
      </w:r>
      <w:r>
        <w:t xml:space="preserve">lgili mevzuatın 4/2.maddesi uyarınca 1</w:t>
      </w:r>
      <w:r>
        <w:t xml:space="preserve"> mali</w:t>
      </w:r>
      <w:r>
        <w:t xml:space="preserve"> yılda</w:t>
      </w:r>
      <w:r>
        <w:t xml:space="preserve">ki</w:t>
      </w:r>
      <w:r>
        <w:t xml:space="preserve"> jüri ücreti ödemesi </w:t>
      </w:r>
      <w:r>
        <w:rPr>
          <w:b/>
        </w:rPr>
        <w:t xml:space="preserve">(6) </w:t>
      </w:r>
      <w:r>
        <w:rPr>
          <w:b/>
        </w:rPr>
        <w:t xml:space="preserve">altıyı </w:t>
      </w:r>
      <w:r>
        <w:t xml:space="preserve">geçemez.</w:t>
      </w:r>
      <w:r/>
    </w:p>
    <w:p>
      <w:pPr>
        <w:pStyle w:val="597"/>
        <w:ind w:right="-115"/>
        <w:jc w:val="both"/>
      </w:pPr>
      <w:r>
        <w:t xml:space="preserve">(***)</w:t>
        <w:tab/>
        <w:t xml:space="preserve">Süresi içerisinde teslim edilmeyen raporlara ilişkin ödeme yapılmayacaktır. (Do</w:t>
      </w:r>
      <w:r>
        <w:t xml:space="preserve">çent ve Doktor öğretim üyesi</w:t>
      </w:r>
      <w:r>
        <w:t xml:space="preserve"> için 1 ay, Profesör için 2 ay süre) </w:t>
      </w:r>
      <w:r/>
    </w:p>
    <w:sectPr>
      <w:footnotePr/>
      <w:endnotePr/>
      <w:type w:val="nextPage"/>
      <w:pgSz w:w="11906" w:h="16838" w:orient="portrait"/>
      <w:pgMar w:top="851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 Light">
    <w:panose1 w:val="020F0502020204030204"/>
  </w:font>
  <w:font w:name="Tahoma">
    <w:panose1 w:val="020B0604030504040204"/>
  </w:font>
  <w:font w:name="Mangal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tr-T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rPr>
      <w:lang w:val="tr-TR" w:eastAsia="ar-SA" w:bidi="ar-SA"/>
    </w:rPr>
  </w:style>
  <w:style w:type="character" w:styleId="598">
    <w:name w:val="Varsayılan Paragraf Yazı Tipi"/>
    <w:next w:val="598"/>
    <w:link w:val="597"/>
  </w:style>
  <w:style w:type="table" w:styleId="599">
    <w:name w:val="Normal Tablo"/>
    <w:next w:val="599"/>
    <w:link w:val="597"/>
    <w:uiPriority w:val="99"/>
    <w:semiHidden/>
    <w:unhideWhenUsed/>
    <w:tblPr/>
  </w:style>
  <w:style w:type="numbering" w:styleId="600">
    <w:name w:val="Liste Yok"/>
    <w:next w:val="600"/>
    <w:link w:val="597"/>
    <w:uiPriority w:val="99"/>
    <w:semiHidden/>
    <w:unhideWhenUsed/>
  </w:style>
  <w:style w:type="character" w:styleId="601">
    <w:name w:val="Absatz-Standardschriftart"/>
    <w:next w:val="601"/>
    <w:link w:val="597"/>
  </w:style>
  <w:style w:type="character" w:styleId="602">
    <w:name w:val="Varsayılan Paragraf Yazı Tipi1"/>
    <w:next w:val="602"/>
    <w:link w:val="597"/>
  </w:style>
  <w:style w:type="paragraph" w:styleId="604">
    <w:name w:val="Gövde Metni"/>
    <w:basedOn w:val="597"/>
    <w:next w:val="604"/>
    <w:link w:val="597"/>
    <w:pPr>
      <w:jc w:val="both"/>
    </w:pPr>
    <w:rPr>
      <w:color w:val="000000"/>
      <w:sz w:val="26"/>
    </w:rPr>
  </w:style>
  <w:style w:type="paragraph" w:styleId="605">
    <w:name w:val="Liste"/>
    <w:basedOn w:val="597"/>
    <w:next w:val="605"/>
    <w:link w:val="597"/>
    <w:pPr>
      <w:ind w:left="283" w:right="0" w:hanging="283"/>
    </w:pPr>
  </w:style>
  <w:style w:type="paragraph" w:styleId="606">
    <w:name w:val="Başlık"/>
    <w:basedOn w:val="597"/>
    <w:next w:val="606"/>
    <w:link w:val="59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07">
    <w:name w:val="Dizin"/>
    <w:basedOn w:val="597"/>
    <w:next w:val="607"/>
    <w:link w:val="597"/>
    <w:pPr>
      <w:suppressLineNumbers/>
    </w:pPr>
    <w:rPr>
      <w:rFonts w:cs="Mangal"/>
    </w:rPr>
  </w:style>
  <w:style w:type="paragraph" w:styleId="608">
    <w:name w:val="WW-Başlık"/>
    <w:basedOn w:val="597"/>
    <w:next w:val="608"/>
    <w:link w:val="59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09">
    <w:name w:val="Gövde Metni 31"/>
    <w:basedOn w:val="597"/>
    <w:next w:val="609"/>
    <w:link w:val="597"/>
    <w:pPr>
      <w:jc w:val="center"/>
    </w:pPr>
    <w:rPr>
      <w:color w:val="000000"/>
      <w:sz w:val="26"/>
    </w:rPr>
  </w:style>
  <w:style w:type="paragraph" w:styleId="610">
    <w:name w:val="Balon Metni"/>
    <w:basedOn w:val="597"/>
    <w:next w:val="610"/>
    <w:link w:val="611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11">
    <w:name w:val="Balon Metni Char"/>
    <w:next w:val="611"/>
    <w:link w:val="610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612">
    <w:name w:val="Tablo Kılavuzu"/>
    <w:basedOn w:val="599"/>
    <w:next w:val="612"/>
    <w:link w:val="597"/>
    <w:uiPriority w:val="59"/>
    <w:tblPr/>
  </w:style>
  <w:style w:type="paragraph" w:styleId="613">
    <w:name w:val="Konu Başlığı"/>
    <w:basedOn w:val="597"/>
    <w:next w:val="597"/>
    <w:link w:val="614"/>
    <w:uiPriority w:val="10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614">
    <w:name w:val="Konu Başlığı Char"/>
    <w:next w:val="614"/>
    <w:link w:val="613"/>
    <w:uiPriority w:val="10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character" w:styleId="615">
    <w:name w:val="Köprü"/>
    <w:next w:val="615"/>
    <w:link w:val="597"/>
    <w:uiPriority w:val="99"/>
    <w:unhideWhenUsed/>
    <w:rPr>
      <w:color w:val="0563c1"/>
      <w:u w:val="single"/>
    </w:rPr>
  </w:style>
  <w:style w:type="character" w:styleId="616">
    <w:name w:val="Çözümlenmeyen Bahsetme"/>
    <w:next w:val="616"/>
    <w:link w:val="597"/>
    <w:uiPriority w:val="99"/>
    <w:semiHidden/>
    <w:unhideWhenUsed/>
    <w:rPr>
      <w:color w:val="605e5c"/>
      <w:shd w:val="clear" w:color="auto" w:fill="e1dfdd"/>
    </w:rPr>
  </w:style>
  <w:style w:type="character" w:styleId="1010" w:default="1">
    <w:name w:val="Default Paragraph Font"/>
    <w:uiPriority w:val="1"/>
    <w:semiHidden/>
    <w:unhideWhenUsed/>
  </w:style>
  <w:style w:type="numbering" w:styleId="1011" w:default="1">
    <w:name w:val="No List"/>
    <w:uiPriority w:val="99"/>
    <w:semiHidden/>
    <w:unhideWhenUsed/>
  </w:style>
  <w:style w:type="table" w:styleId="10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PRODUCTION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2022-06-08T11:15:00Z</dcterms:created>
  <dcterms:modified xsi:type="dcterms:W3CDTF">2023-11-17T07:34:18Z</dcterms:modified>
  <cp:version>1048576</cp:version>
</cp:coreProperties>
</file>